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  <w:r>
        <w:rPr>
          <w:b w:val="1"/>
          <w:bCs w:val="1"/>
          <w:rtl w:val="0"/>
          <w:lang w:val="ru-RU"/>
        </w:rPr>
        <w:t>Заявление</w:t>
      </w:r>
    </w:p>
    <w:p>
      <w:pPr>
        <w:pStyle w:val="Normal.0"/>
        <w:jc w:val="center"/>
      </w:pPr>
      <w:r>
        <w:rPr>
          <w:b w:val="1"/>
          <w:bCs w:val="1"/>
          <w:rtl w:val="0"/>
          <w:lang w:val="ru-RU"/>
        </w:rPr>
        <w:t xml:space="preserve">о присоединении к условиям Договора присоединения к правилам предоставления Публичным акционерным обществом «ТРАНСКАПИТАЛБАНК» независимых </w:t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банковских</w:t>
      </w:r>
      <w:r>
        <w:rPr>
          <w:b w:val="1"/>
          <w:bCs w:val="1"/>
          <w:rtl w:val="0"/>
          <w:lang w:val="ru-RU"/>
        </w:rPr>
        <w:t xml:space="preserve">) </w:t>
      </w:r>
      <w:r>
        <w:rPr>
          <w:b w:val="1"/>
          <w:bCs w:val="1"/>
          <w:rtl w:val="0"/>
          <w:lang w:val="ru-RU"/>
        </w:rPr>
        <w:t>гарантий</w:t>
      </w:r>
    </w:p>
    <w:p>
      <w:pPr>
        <w:pStyle w:val="Normal.0"/>
        <w:jc w:val="center"/>
      </w:pPr>
      <w:r>
        <w:rPr>
          <w:rtl w:val="0"/>
          <w:lang w:val="ru-RU"/>
        </w:rPr>
        <w:t>${</w:t>
      </w:r>
      <w:r>
        <w:rPr>
          <w:rtl w:val="0"/>
          <w:lang w:val="en-US"/>
        </w:rPr>
        <w:t>client</w:t>
      </w:r>
      <w:r>
        <w:rPr>
          <w:rtl w:val="0"/>
          <w:lang w:val="ru-RU"/>
        </w:rPr>
        <w:t>}</w:t>
      </w:r>
    </w:p>
    <w:p>
      <w:pPr>
        <w:pStyle w:val="Normal.0"/>
        <w:jc w:val="center"/>
      </w:pPr>
      <w:r>
        <w:rPr>
          <w:rtl w:val="0"/>
          <w:lang w:val="ru-RU"/>
        </w:rPr>
        <w:t>ИНН</w:t>
      </w:r>
      <w:r>
        <w:rPr>
          <w:rtl w:val="0"/>
          <w:lang w:val="ru-RU"/>
        </w:rPr>
        <w:t>: ${</w:t>
      </w:r>
      <w:r>
        <w:rPr>
          <w:rtl w:val="0"/>
          <w:lang w:val="en-US"/>
        </w:rPr>
        <w:t>inn</w:t>
      </w:r>
      <w:r>
        <w:rPr>
          <w:rtl w:val="0"/>
          <w:lang w:val="ru-RU"/>
        </w:rPr>
        <w:t xml:space="preserve">}  </w:t>
      </w:r>
      <w:r>
        <w:rPr>
          <w:rtl w:val="0"/>
          <w:lang w:val="ru-RU"/>
        </w:rPr>
        <w:t>адрес для получения почтовой корреспонденции</w:t>
      </w:r>
      <w:r>
        <w:rPr>
          <w:rtl w:val="0"/>
          <w:lang w:val="ru-RU"/>
        </w:rPr>
        <w:t>: ${</w:t>
      </w:r>
      <w:r>
        <w:rPr>
          <w:rtl w:val="0"/>
          <w:lang w:val="en-US"/>
        </w:rPr>
        <w:t>clientAddress</w:t>
      </w:r>
      <w:r>
        <w:rPr>
          <w:rtl w:val="0"/>
          <w:lang w:val="ru-RU"/>
        </w:rPr>
        <w:t>}</w:t>
      </w:r>
    </w:p>
    <w:p>
      <w:pPr>
        <w:pStyle w:val="Normal.0"/>
      </w:pPr>
      <w:r>
        <w:rPr>
          <w:rtl w:val="0"/>
          <w:lang w:val="ru-RU"/>
        </w:rPr>
        <w:t> </w:t>
      </w:r>
    </w:p>
    <w:p>
      <w:pPr>
        <w:pStyle w:val="Normal.0"/>
      </w:pPr>
      <w:r>
        <w:rPr>
          <w:rtl w:val="0"/>
          <w:lang w:val="en-US"/>
        </w:rPr>
        <w:t>${</w:t>
      </w:r>
      <w:r>
        <w:rPr>
          <w:rtl w:val="0"/>
        </w:rPr>
        <w:t>agreementTex</w:t>
      </w:r>
      <w:r>
        <w:rPr>
          <w:rtl w:val="0"/>
          <w:lang w:val="en-US"/>
        </w:rPr>
        <w:t>t}</w:t>
      </w:r>
    </w:p>
    <w:p>
      <w:pPr>
        <w:pStyle w:val="Normal.0"/>
      </w:pPr>
      <w:r>
        <w:rPr>
          <w:rtl w:val="0"/>
          <w:lang w:val="ru-RU"/>
        </w:rPr>
        <w:t> </w:t>
      </w:r>
    </w:p>
    <w:p>
      <w:pPr>
        <w:pStyle w:val="Normal.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jc w:val="center"/>
      </w:pPr>
      <w:r>
        <w:rPr>
          <w:rtl w:val="0"/>
          <w:lang w:val="ru-RU"/>
        </w:rPr>
        <w:t>Заявка Клиента</w:t>
      </w:r>
    </w:p>
    <w:p>
      <w:pPr>
        <w:pStyle w:val="Normal.0"/>
        <w:jc w:val="center"/>
      </w:pPr>
      <w:r>
        <w:rPr>
          <w:rtl w:val="0"/>
          <w:lang w:val="ru-RU"/>
        </w:rPr>
        <w:t xml:space="preserve">о предоставлении Публичным акционерным обществом «ТРАНСКАПИТАЛБАНК» независимой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банковской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гарантии</w:t>
      </w:r>
    </w:p>
    <w:p>
      <w:pPr>
        <w:pStyle w:val="Normal.0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 xml:space="preserve">В соответствии с условиями Договора просит ТКБ БАНК ПАО выдать независимую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банковскую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гарантию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далее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Гарантия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со следующими условиями</w:t>
      </w:r>
      <w:r>
        <w:rPr>
          <w:rtl w:val="0"/>
          <w:lang w:val="ru-RU"/>
        </w:rPr>
        <w:t>:</w:t>
      </w:r>
    </w:p>
    <w:tbl>
      <w:tblPr>
        <w:tblW w:w="1025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934"/>
        <w:gridCol w:w="4318"/>
      </w:tblGrid>
      <w:tr>
        <w:tblPrEx>
          <w:shd w:val="clear" w:color="auto" w:fill="d0ddef"/>
        </w:tblPrEx>
        <w:trPr>
          <w:trHeight w:val="217" w:hRule="atLeast"/>
        </w:trPr>
        <w:tc>
          <w:tcPr>
            <w:tcW w:type="dxa" w:w="593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14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Условие</w:t>
            </w:r>
          </w:p>
        </w:tc>
        <w:tc>
          <w:tcPr>
            <w:tcW w:type="dxa" w:w="431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14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Содержание</w:t>
            </w:r>
          </w:p>
        </w:tc>
      </w:tr>
      <w:tr>
        <w:tblPrEx>
          <w:shd w:val="clear" w:color="auto" w:fill="d0ddef"/>
        </w:tblPrEx>
        <w:trPr>
          <w:trHeight w:val="217" w:hRule="atLeast"/>
        </w:trPr>
        <w:tc>
          <w:tcPr>
            <w:tcW w:type="dxa" w:w="593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14"/>
            </w:pPr>
            <w:r>
              <w:rPr>
                <w:shd w:val="nil" w:color="auto" w:fill="auto"/>
                <w:rtl w:val="0"/>
                <w:lang w:val="ru-RU"/>
              </w:rPr>
              <w:t>Сумма Гарантии</w:t>
            </w:r>
          </w:p>
        </w:tc>
        <w:tc>
          <w:tcPr>
            <w:tcW w:type="dxa" w:w="431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14"/>
            </w:pPr>
            <w:r>
              <w:rPr>
                <w:shd w:val="nil" w:color="auto" w:fill="auto"/>
                <w:rtl w:val="0"/>
                <w:lang w:val="ru-RU"/>
              </w:rPr>
              <w:t>${</w:t>
            </w:r>
            <w:r>
              <w:rPr>
                <w:shd w:val="nil" w:color="auto" w:fill="auto"/>
                <w:rtl w:val="0"/>
                <w:lang w:val="en-US"/>
              </w:rPr>
              <w:t>roubles</w:t>
            </w:r>
            <w:r>
              <w:rPr>
                <w:shd w:val="nil" w:color="auto" w:fill="auto"/>
                <w:rtl w:val="0"/>
                <w:lang w:val="ru-RU"/>
              </w:rPr>
              <w:t>} ${</w:t>
            </w:r>
            <w:r>
              <w:rPr>
                <w:shd w:val="nil" w:color="auto" w:fill="auto"/>
                <w:rtl w:val="0"/>
                <w:lang w:val="en-US"/>
              </w:rPr>
              <w:t>textsum</w:t>
            </w:r>
            <w:r>
              <w:rPr>
                <w:shd w:val="nil" w:color="auto" w:fill="auto"/>
                <w:rtl w:val="0"/>
                <w:lang w:val="ru-RU"/>
              </w:rPr>
              <w:t>}</w:t>
            </w:r>
          </w:p>
        </w:tc>
      </w:tr>
      <w:tr>
        <w:tblPrEx>
          <w:shd w:val="clear" w:color="auto" w:fill="d0ddef"/>
        </w:tblPrEx>
        <w:trPr>
          <w:trHeight w:val="217" w:hRule="atLeast"/>
        </w:trPr>
        <w:tc>
          <w:tcPr>
            <w:tcW w:type="dxa" w:w="593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14"/>
            </w:pPr>
            <w:r>
              <w:rPr>
                <w:shd w:val="nil" w:color="auto" w:fill="auto"/>
                <w:rtl w:val="0"/>
                <w:lang w:val="ru-RU"/>
              </w:rPr>
              <w:t>Дата вступления в силу Гарантии</w:t>
            </w:r>
          </w:p>
        </w:tc>
        <w:tc>
          <w:tcPr>
            <w:tcW w:type="dxa" w:w="431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14"/>
            </w:pPr>
            <w:r>
              <w:rPr>
                <w:shd w:val="nil" w:color="auto" w:fill="auto"/>
                <w:rtl w:val="0"/>
                <w:lang w:val="en-US"/>
              </w:rPr>
              <w:t>${date_start}</w:t>
            </w:r>
          </w:p>
        </w:tc>
      </w:tr>
      <w:tr>
        <w:tblPrEx>
          <w:shd w:val="clear" w:color="auto" w:fill="d0ddef"/>
        </w:tblPrEx>
        <w:trPr>
          <w:trHeight w:val="217" w:hRule="atLeast"/>
        </w:trPr>
        <w:tc>
          <w:tcPr>
            <w:tcW w:type="dxa" w:w="593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14"/>
            </w:pPr>
            <w:r>
              <w:rPr>
                <w:shd w:val="nil" w:color="auto" w:fill="auto"/>
                <w:rtl w:val="0"/>
                <w:lang w:val="ru-RU"/>
              </w:rPr>
              <w:t>Дата окончания срока действия Гарантии</w:t>
            </w:r>
          </w:p>
        </w:tc>
        <w:tc>
          <w:tcPr>
            <w:tcW w:type="dxa" w:w="431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14"/>
            </w:pPr>
            <w:r>
              <w:rPr>
                <w:shd w:val="nil" w:color="auto" w:fill="auto"/>
                <w:rtl w:val="0"/>
                <w:lang w:val="en-US"/>
              </w:rPr>
              <w:t>«</w:t>
            </w:r>
            <w:r>
              <w:rPr>
                <w:shd w:val="nil" w:color="auto" w:fill="auto"/>
                <w:rtl w:val="0"/>
                <w:lang w:val="en-US"/>
              </w:rPr>
              <w:t>${day_end}</w:t>
            </w:r>
            <w:r>
              <w:rPr>
                <w:shd w:val="nil" w:color="auto" w:fill="auto"/>
                <w:rtl w:val="0"/>
                <w:lang w:val="en-US"/>
              </w:rPr>
              <w:t xml:space="preserve">» </w:t>
            </w:r>
            <w:r>
              <w:rPr>
                <w:shd w:val="nil" w:color="auto" w:fill="auto"/>
                <w:rtl w:val="0"/>
                <w:lang w:val="en-US"/>
              </w:rPr>
              <w:t xml:space="preserve">${month_end} ${year_end} </w:t>
            </w:r>
            <w:r>
              <w:rPr>
                <w:shd w:val="nil" w:color="auto" w:fill="auto"/>
                <w:rtl w:val="0"/>
                <w:lang w:val="ru-RU"/>
              </w:rPr>
              <w:t>г</w:t>
            </w:r>
            <w:r>
              <w:rPr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17" w:hRule="atLeast"/>
        </w:trPr>
        <w:tc>
          <w:tcPr>
            <w:tcW w:type="dxa" w:w="593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14"/>
            </w:pPr>
            <w:r>
              <w:rPr>
                <w:shd w:val="nil" w:color="auto" w:fill="auto"/>
                <w:rtl w:val="0"/>
                <w:lang w:val="ru-RU"/>
              </w:rPr>
              <w:t>Бенефициар</w:t>
            </w:r>
          </w:p>
        </w:tc>
        <w:tc>
          <w:tcPr>
            <w:tcW w:type="dxa" w:w="431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14"/>
            </w:pPr>
            <w:r>
              <w:rPr>
                <w:shd w:val="nil" w:color="auto" w:fill="auto"/>
                <w:rtl w:val="0"/>
                <w:lang w:val="en-US"/>
              </w:rPr>
              <w:t>${benificiar}</w:t>
            </w:r>
          </w:p>
        </w:tc>
      </w:tr>
      <w:tr>
        <w:tblPrEx>
          <w:shd w:val="clear" w:color="auto" w:fill="d0ddef"/>
        </w:tblPrEx>
        <w:trPr>
          <w:trHeight w:val="217" w:hRule="atLeast"/>
        </w:trPr>
        <w:tc>
          <w:tcPr>
            <w:tcW w:type="dxa" w:w="593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14"/>
            </w:pPr>
            <w:r>
              <w:rPr>
                <w:shd w:val="nil" w:color="auto" w:fill="auto"/>
                <w:rtl w:val="0"/>
                <w:lang w:val="ru-RU"/>
              </w:rPr>
              <w:t xml:space="preserve">Наименование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предмет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Закупки</w:t>
            </w:r>
          </w:p>
        </w:tc>
        <w:tc>
          <w:tcPr>
            <w:tcW w:type="dxa" w:w="431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14"/>
            </w:pPr>
            <w:r>
              <w:rPr>
                <w:shd w:val="nil" w:color="auto" w:fill="auto"/>
                <w:rtl w:val="0"/>
                <w:lang w:val="en-US"/>
              </w:rPr>
              <w:t>${predmet}</w:t>
            </w:r>
          </w:p>
        </w:tc>
      </w:tr>
      <w:tr>
        <w:tblPrEx>
          <w:shd w:val="clear" w:color="auto" w:fill="d0ddef"/>
        </w:tblPrEx>
        <w:trPr>
          <w:trHeight w:val="217" w:hRule="atLeast"/>
        </w:trPr>
        <w:tc>
          <w:tcPr>
            <w:tcW w:type="dxa" w:w="593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14"/>
            </w:pPr>
            <w:r>
              <w:rPr>
                <w:shd w:val="nil" w:color="auto" w:fill="auto"/>
                <w:rtl w:val="0"/>
                <w:lang w:val="ru-RU"/>
              </w:rPr>
              <w:t>Номер Закупки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>Извещения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>ИКЗ</w:t>
            </w:r>
          </w:p>
        </w:tc>
        <w:tc>
          <w:tcPr>
            <w:tcW w:type="dxa" w:w="431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14"/>
            </w:pPr>
            <w:r>
              <w:rPr>
                <w:shd w:val="nil" w:color="auto" w:fill="auto"/>
                <w:rtl w:val="0"/>
                <w:lang w:val="en-US"/>
              </w:rPr>
              <w:t>${zak}</w:t>
            </w:r>
          </w:p>
        </w:tc>
      </w:tr>
      <w:tr>
        <w:tblPrEx>
          <w:shd w:val="clear" w:color="auto" w:fill="d0ddef"/>
        </w:tblPrEx>
        <w:trPr>
          <w:trHeight w:val="217" w:hRule="atLeast"/>
        </w:trPr>
        <w:tc>
          <w:tcPr>
            <w:tcW w:type="dxa" w:w="593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14"/>
            </w:pPr>
            <w:r>
              <w:rPr>
                <w:shd w:val="nil" w:color="auto" w:fill="auto"/>
                <w:rtl w:val="0"/>
                <w:lang w:val="ru-RU"/>
              </w:rPr>
              <w:t>Размер комиссии за выдачу Гарантии</w:t>
            </w:r>
          </w:p>
        </w:tc>
        <w:tc>
          <w:tcPr>
            <w:tcW w:type="dxa" w:w="431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14"/>
            </w:pPr>
            <w:r>
              <w:rPr>
                <w:shd w:val="nil" w:color="auto" w:fill="auto"/>
                <w:rtl w:val="0"/>
                <w:lang w:val="en-US"/>
              </w:rPr>
              <w:t>${commision}</w:t>
            </w:r>
          </w:p>
        </w:tc>
      </w:tr>
    </w:tbl>
    <w:p>
      <w:pPr>
        <w:pStyle w:val="Normal.0"/>
        <w:widowControl w:val="0"/>
        <w:spacing w:line="240" w:lineRule="auto"/>
        <w:ind w:firstLine="0"/>
        <w:jc w:val="center"/>
      </w:pPr>
    </w:p>
    <w:p>
      <w:pPr>
        <w:pStyle w:val="Normal.0"/>
        <w:widowControl w:val="0"/>
        <w:spacing w:line="240" w:lineRule="auto"/>
        <w:ind w:firstLine="0"/>
        <w:jc w:val="center"/>
      </w:pPr>
    </w:p>
    <w:p>
      <w:pPr>
        <w:pStyle w:val="Normal.0"/>
      </w:pPr>
      <w:r>
        <w:rPr>
          <w:rtl w:val="0"/>
          <w:lang w:val="ru-RU"/>
        </w:rPr>
        <w:t> </w:t>
      </w:r>
    </w:p>
    <w:p>
      <w:pPr>
        <w:pStyle w:val="Normal.0"/>
      </w:pPr>
      <w:r>
        <w:rPr>
          <w:rtl w:val="0"/>
          <w:lang w:val="ru-RU"/>
        </w:rPr>
        <w:t> </w:t>
      </w:r>
      <w:r>
        <w:rPr>
          <w:rtl w:val="0"/>
          <w:lang w:val="en-US"/>
        </w:rPr>
        <w:t>${</w:t>
      </w:r>
      <w:r>
        <w:rPr>
          <w:rtl w:val="0"/>
        </w:rPr>
        <w:t>agreementTextPage2</w:t>
      </w:r>
      <w:r>
        <w:rPr>
          <w:rtl w:val="0"/>
          <w:lang w:val="en-US"/>
        </w:rPr>
        <w:t>}</w:t>
      </w:r>
    </w:p>
    <w:p>
      <w:pPr>
        <w:pStyle w:val="Normal.0"/>
      </w:pPr>
      <w:r>
        <w:rPr>
          <w:rtl w:val="0"/>
          <w:lang w:val="ru-RU"/>
        </w:rPr>
        <w:t> </w:t>
      </w:r>
    </w:p>
    <w:sectPr>
      <w:headerReference w:type="default" r:id="rId4"/>
      <w:footerReference w:type="default" r:id="rId5"/>
      <w:pgSz w:w="12240" w:h="15840" w:orient="portrait"/>
      <w:pgMar w:top="561" w:right="849" w:bottom="1440" w:left="1137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0" w:right="0" w:firstLine="432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